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A446" w14:textId="6FE7C842" w:rsidR="00B46BD9" w:rsidRPr="001F4646" w:rsidRDefault="00B46BD9" w:rsidP="00B46BD9">
      <w:pPr>
        <w:jc w:val="center"/>
        <w:rPr>
          <w:b/>
          <w:sz w:val="28"/>
        </w:rPr>
      </w:pPr>
      <w:r>
        <w:rPr>
          <w:b/>
          <w:sz w:val="28"/>
        </w:rPr>
        <w:t>TUITION REIMBURSEMENT</w:t>
      </w:r>
    </w:p>
    <w:p w14:paraId="7D2AAE4E" w14:textId="58DDCDC2" w:rsidR="00A81FDD" w:rsidRDefault="00A81FDD" w:rsidP="00A81FDD">
      <w:r>
        <w:t>Boston Children’s Hospital’s (“Hospital”) Tuition and Student Loan Assistance policy e</w:t>
      </w:r>
      <w:r w:rsidRPr="0017124A">
        <w:t>ncourage</w:t>
      </w:r>
      <w:r>
        <w:t>s</w:t>
      </w:r>
      <w:r w:rsidRPr="0017124A">
        <w:t xml:space="preserve"> employees to further their professiona</w:t>
      </w:r>
      <w:r>
        <w:t xml:space="preserve">l development through education by offering both a tuition assistance program and a student loan subsidy, both administered </w:t>
      </w:r>
      <w:r>
        <w:rPr>
          <w:rFonts w:cs="Verdana"/>
          <w:color w:val="000000"/>
        </w:rPr>
        <w:t>by Bright Horizons (“EdAssist”).</w:t>
      </w:r>
      <w:r>
        <w:t xml:space="preserve"> Below is a list of frequently asked questions to provide additional information related to this policy. </w:t>
      </w:r>
    </w:p>
    <w:tbl>
      <w:tblPr>
        <w:tblStyle w:val="TableGrid"/>
        <w:tblW w:w="0" w:type="auto"/>
        <w:tblLook w:val="04A0" w:firstRow="1" w:lastRow="0" w:firstColumn="1" w:lastColumn="0" w:noHBand="0" w:noVBand="1"/>
      </w:tblPr>
      <w:tblGrid>
        <w:gridCol w:w="1975"/>
        <w:gridCol w:w="7375"/>
      </w:tblGrid>
      <w:tr w:rsidR="00462230" w14:paraId="4F113E96" w14:textId="77777777" w:rsidTr="00A75460">
        <w:tc>
          <w:tcPr>
            <w:tcW w:w="1975" w:type="dxa"/>
            <w:vAlign w:val="center"/>
          </w:tcPr>
          <w:p w14:paraId="7C72ADF5" w14:textId="523E88BC" w:rsidR="00462230" w:rsidRDefault="00462230" w:rsidP="00A75460">
            <w:pPr>
              <w:spacing w:before="60" w:after="60"/>
              <w:rPr>
                <w:b/>
                <w:bCs/>
                <w:sz w:val="18"/>
              </w:rPr>
            </w:pPr>
            <w:r>
              <w:rPr>
                <w:b/>
                <w:bCs/>
                <w:sz w:val="18"/>
              </w:rPr>
              <w:t>What is tuition reimbursement?</w:t>
            </w:r>
          </w:p>
        </w:tc>
        <w:tc>
          <w:tcPr>
            <w:tcW w:w="7375" w:type="dxa"/>
            <w:vAlign w:val="center"/>
          </w:tcPr>
          <w:p w14:paraId="56888989" w14:textId="023F1EDE" w:rsidR="00462230" w:rsidRPr="00A81FDD" w:rsidRDefault="00462230" w:rsidP="00462230">
            <w:pPr>
              <w:spacing w:before="60" w:after="60"/>
              <w:rPr>
                <w:sz w:val="18"/>
              </w:rPr>
            </w:pPr>
            <w:r>
              <w:rPr>
                <w:sz w:val="18"/>
              </w:rPr>
              <w:t xml:space="preserve">Tuition reimbursement is a payment made to the employee by the Hospital for an eligible degree program from an eligible college or university providing financial support for the employee’s educational goals.  </w:t>
            </w:r>
          </w:p>
        </w:tc>
      </w:tr>
      <w:tr w:rsidR="00B658CC" w14:paraId="79FB241E" w14:textId="77777777" w:rsidTr="00A75460">
        <w:tc>
          <w:tcPr>
            <w:tcW w:w="1975" w:type="dxa"/>
            <w:vAlign w:val="center"/>
          </w:tcPr>
          <w:p w14:paraId="16CAB372" w14:textId="482A858A" w:rsidR="00B658CC" w:rsidRDefault="00B658CC" w:rsidP="00B658CC">
            <w:pPr>
              <w:spacing w:before="60" w:after="60"/>
              <w:rPr>
                <w:b/>
                <w:bCs/>
                <w:color w:val="000000" w:themeColor="text1"/>
                <w:sz w:val="18"/>
              </w:rPr>
            </w:pPr>
            <w:r w:rsidRPr="00B658CC">
              <w:rPr>
                <w:b/>
                <w:bCs/>
                <w:sz w:val="18"/>
              </w:rPr>
              <w:t>Who is eligible for tuition reimbursement?</w:t>
            </w:r>
          </w:p>
        </w:tc>
        <w:tc>
          <w:tcPr>
            <w:tcW w:w="7375" w:type="dxa"/>
            <w:vAlign w:val="center"/>
          </w:tcPr>
          <w:p w14:paraId="2251EB42" w14:textId="77777777" w:rsidR="00B658CC" w:rsidRPr="00E263F4" w:rsidRDefault="00B658CC" w:rsidP="00B658CC">
            <w:pPr>
              <w:spacing w:before="60" w:after="60"/>
              <w:rPr>
                <w:sz w:val="18"/>
              </w:rPr>
            </w:pPr>
            <w:r w:rsidRPr="00E263F4">
              <w:rPr>
                <w:sz w:val="18"/>
              </w:rPr>
              <w:t xml:space="preserve">Except as noted below, Hospital employees regularly scheduled to work 20 or more hours per week and who have successfully completed 90 days of continuous employment at the Hospital are covered under this policy. </w:t>
            </w:r>
            <w:r>
              <w:rPr>
                <w:sz w:val="18"/>
              </w:rPr>
              <w:t xml:space="preserve"> </w:t>
            </w:r>
          </w:p>
          <w:p w14:paraId="3BBAFA93" w14:textId="77777777" w:rsidR="00B658CC" w:rsidRPr="00E263F4" w:rsidRDefault="00B658CC" w:rsidP="00B658CC">
            <w:pPr>
              <w:numPr>
                <w:ilvl w:val="1"/>
                <w:numId w:val="3"/>
              </w:numPr>
              <w:tabs>
                <w:tab w:val="clear" w:pos="720"/>
              </w:tabs>
              <w:spacing w:before="60" w:after="60"/>
              <w:ind w:left="434" w:hanging="196"/>
              <w:rPr>
                <w:sz w:val="18"/>
              </w:rPr>
            </w:pPr>
            <w:r w:rsidRPr="00E263F4">
              <w:rPr>
                <w:sz w:val="18"/>
              </w:rPr>
              <w:t>Fellows, Joint Appointees, and House Staff are eligible for the student loan assistance portion of this policy, but are not eligible for the tuition as</w:t>
            </w:r>
            <w:r>
              <w:rPr>
                <w:sz w:val="18"/>
              </w:rPr>
              <w:t>sistance portion of this policy</w:t>
            </w:r>
          </w:p>
          <w:p w14:paraId="7952D67B" w14:textId="3033C988" w:rsidR="00B658CC" w:rsidRPr="00EA6389" w:rsidRDefault="00B658CC" w:rsidP="00EA6389">
            <w:pPr>
              <w:numPr>
                <w:ilvl w:val="1"/>
                <w:numId w:val="3"/>
              </w:numPr>
              <w:tabs>
                <w:tab w:val="clear" w:pos="720"/>
              </w:tabs>
              <w:spacing w:before="60" w:after="60"/>
              <w:ind w:left="434" w:hanging="196"/>
              <w:rPr>
                <w:sz w:val="18"/>
              </w:rPr>
            </w:pPr>
            <w:r w:rsidRPr="00E263F4">
              <w:rPr>
                <w:sz w:val="18"/>
              </w:rPr>
              <w:t>Temporary or Per Diem employees of the Hospital are not eligible for tuition or student lo</w:t>
            </w:r>
            <w:r>
              <w:rPr>
                <w:sz w:val="18"/>
              </w:rPr>
              <w:t>an assistance under this policy</w:t>
            </w:r>
          </w:p>
        </w:tc>
      </w:tr>
      <w:tr w:rsidR="00B658CC" w14:paraId="6777935F" w14:textId="77777777" w:rsidTr="00A75460">
        <w:tc>
          <w:tcPr>
            <w:tcW w:w="1975" w:type="dxa"/>
            <w:vAlign w:val="center"/>
          </w:tcPr>
          <w:p w14:paraId="49B67D4C" w14:textId="7A17E398" w:rsidR="00B658CC" w:rsidRPr="00755853" w:rsidRDefault="00B658CC" w:rsidP="00B658CC">
            <w:pPr>
              <w:spacing w:before="60" w:after="60"/>
              <w:rPr>
                <w:b/>
                <w:bCs/>
                <w:color w:val="000000" w:themeColor="text1"/>
                <w:sz w:val="18"/>
              </w:rPr>
            </w:pPr>
            <w:r>
              <w:rPr>
                <w:b/>
                <w:bCs/>
                <w:color w:val="000000" w:themeColor="text1"/>
                <w:sz w:val="18"/>
              </w:rPr>
              <w:t xml:space="preserve">How much can I get reimbursed? </w:t>
            </w:r>
          </w:p>
        </w:tc>
        <w:tc>
          <w:tcPr>
            <w:tcW w:w="7375" w:type="dxa"/>
            <w:vAlign w:val="center"/>
          </w:tcPr>
          <w:p w14:paraId="78F19895" w14:textId="4C85F117" w:rsidR="00B658CC" w:rsidRPr="00755853" w:rsidRDefault="00B658CC" w:rsidP="00B658CC">
            <w:pPr>
              <w:spacing w:before="60" w:after="60"/>
              <w:rPr>
                <w:b/>
                <w:bCs/>
                <w:color w:val="000000" w:themeColor="text1"/>
                <w:sz w:val="18"/>
              </w:rPr>
            </w:pPr>
            <w:r w:rsidRPr="00BE6729">
              <w:rPr>
                <w:bCs/>
                <w:color w:val="000000" w:themeColor="text1"/>
                <w:sz w:val="18"/>
              </w:rPr>
              <w:t>The annual benefit maximum is $5,250 for eligible employees regularly scheduled to work 30 or more hours per week for the Hospital ($2,625 for eligible employees regularly scheduled to work between 20 and</w:t>
            </w:r>
            <w:r>
              <w:rPr>
                <w:bCs/>
                <w:color w:val="000000" w:themeColor="text1"/>
                <w:sz w:val="18"/>
              </w:rPr>
              <w:t xml:space="preserve"> </w:t>
            </w:r>
            <w:r w:rsidRPr="00BE6729">
              <w:rPr>
                <w:bCs/>
                <w:color w:val="000000" w:themeColor="text1"/>
                <w:sz w:val="18"/>
              </w:rPr>
              <w:t>29.99 hours per week for the Hospital).</w:t>
            </w:r>
            <w:r>
              <w:rPr>
                <w:bCs/>
                <w:color w:val="000000" w:themeColor="text1"/>
                <w:sz w:val="18"/>
              </w:rPr>
              <w:t xml:space="preserve"> </w:t>
            </w:r>
          </w:p>
        </w:tc>
      </w:tr>
      <w:tr w:rsidR="00B658CC" w14:paraId="06B29DFA" w14:textId="77777777" w:rsidTr="00A75460">
        <w:tc>
          <w:tcPr>
            <w:tcW w:w="1975" w:type="dxa"/>
            <w:vAlign w:val="center"/>
          </w:tcPr>
          <w:p w14:paraId="51DF77FB" w14:textId="6B82ED97" w:rsidR="00B658CC" w:rsidRPr="00755853" w:rsidRDefault="00EA6389" w:rsidP="00EA6389">
            <w:pPr>
              <w:spacing w:before="60" w:after="60"/>
              <w:rPr>
                <w:b/>
                <w:bCs/>
                <w:color w:val="000000" w:themeColor="text1"/>
                <w:sz w:val="18"/>
              </w:rPr>
            </w:pPr>
            <w:r>
              <w:rPr>
                <w:b/>
                <w:bCs/>
                <w:color w:val="000000" w:themeColor="text1"/>
                <w:sz w:val="18"/>
              </w:rPr>
              <w:t>Were</w:t>
            </w:r>
            <w:r w:rsidR="00B658CC">
              <w:rPr>
                <w:b/>
                <w:bCs/>
                <w:color w:val="000000" w:themeColor="text1"/>
                <w:sz w:val="18"/>
              </w:rPr>
              <w:t xml:space="preserve"> there any changes made to the tuition reimbursement portion of this policy?</w:t>
            </w:r>
          </w:p>
        </w:tc>
        <w:tc>
          <w:tcPr>
            <w:tcW w:w="7375" w:type="dxa"/>
            <w:vAlign w:val="center"/>
          </w:tcPr>
          <w:p w14:paraId="050AB446" w14:textId="692E9894" w:rsidR="00B658CC" w:rsidRPr="009F7859" w:rsidRDefault="00B658CC" w:rsidP="00EA6389">
            <w:pPr>
              <w:spacing w:before="60" w:after="60"/>
              <w:rPr>
                <w:bCs/>
                <w:color w:val="000000" w:themeColor="text1"/>
                <w:sz w:val="18"/>
              </w:rPr>
            </w:pPr>
            <w:r w:rsidRPr="00BE6729">
              <w:rPr>
                <w:bCs/>
                <w:color w:val="000000" w:themeColor="text1"/>
                <w:sz w:val="18"/>
              </w:rPr>
              <w:t xml:space="preserve">Yes. </w:t>
            </w:r>
            <w:r>
              <w:rPr>
                <w:bCs/>
                <w:color w:val="000000" w:themeColor="text1"/>
                <w:sz w:val="18"/>
              </w:rPr>
              <w:t>As of January 1, 2023, t</w:t>
            </w:r>
            <w:r w:rsidR="00EA6389">
              <w:rPr>
                <w:bCs/>
                <w:color w:val="000000" w:themeColor="text1"/>
                <w:sz w:val="18"/>
              </w:rPr>
              <w:t>he waiting period wa</w:t>
            </w:r>
            <w:r w:rsidRPr="00BE6729">
              <w:rPr>
                <w:bCs/>
                <w:color w:val="000000" w:themeColor="text1"/>
                <w:sz w:val="18"/>
              </w:rPr>
              <w:t>s reduced to 90 days</w:t>
            </w:r>
            <w:r w:rsidR="00EA6389">
              <w:rPr>
                <w:bCs/>
                <w:color w:val="000000" w:themeColor="text1"/>
                <w:sz w:val="18"/>
              </w:rPr>
              <w:t>. The annual benefit maximum wa</w:t>
            </w:r>
            <w:r w:rsidRPr="00BE6729">
              <w:rPr>
                <w:bCs/>
                <w:color w:val="000000" w:themeColor="text1"/>
                <w:sz w:val="18"/>
              </w:rPr>
              <w:t>s also increased to $5,250 for eligible employees regularly scheduled to work 30 or more hours per week for the Hospital ($2,625 for eligible employees regularly scheduled to work between 20 and</w:t>
            </w:r>
            <w:r>
              <w:rPr>
                <w:bCs/>
                <w:color w:val="000000" w:themeColor="text1"/>
                <w:sz w:val="18"/>
              </w:rPr>
              <w:t xml:space="preserve"> </w:t>
            </w:r>
            <w:r w:rsidRPr="00BE6729">
              <w:rPr>
                <w:bCs/>
                <w:color w:val="000000" w:themeColor="text1"/>
                <w:sz w:val="18"/>
              </w:rPr>
              <w:t xml:space="preserve">29.99 hours per week for the Hospital). </w:t>
            </w:r>
          </w:p>
        </w:tc>
      </w:tr>
      <w:tr w:rsidR="00B658CC" w14:paraId="14CE6A65" w14:textId="77777777" w:rsidTr="00A75460">
        <w:tc>
          <w:tcPr>
            <w:tcW w:w="1975" w:type="dxa"/>
            <w:vAlign w:val="center"/>
          </w:tcPr>
          <w:p w14:paraId="5FE0B59C" w14:textId="5559406E" w:rsidR="00B658CC" w:rsidRDefault="00EA6389" w:rsidP="00EA6389">
            <w:pPr>
              <w:spacing w:before="60" w:after="60"/>
              <w:rPr>
                <w:b/>
                <w:bCs/>
                <w:color w:val="000000" w:themeColor="text1"/>
                <w:sz w:val="18"/>
              </w:rPr>
            </w:pPr>
            <w:r>
              <w:rPr>
                <w:b/>
                <w:bCs/>
                <w:color w:val="000000" w:themeColor="text1"/>
                <w:sz w:val="18"/>
              </w:rPr>
              <w:t xml:space="preserve">Were </w:t>
            </w:r>
            <w:r w:rsidR="00B658CC">
              <w:rPr>
                <w:b/>
                <w:bCs/>
                <w:color w:val="000000" w:themeColor="text1"/>
                <w:sz w:val="18"/>
              </w:rPr>
              <w:t>the</w:t>
            </w:r>
            <w:r>
              <w:rPr>
                <w:b/>
                <w:bCs/>
                <w:color w:val="000000" w:themeColor="text1"/>
                <w:sz w:val="18"/>
              </w:rPr>
              <w:t>re any additional changes made related to this policy</w:t>
            </w:r>
            <w:r w:rsidR="00B658CC">
              <w:rPr>
                <w:b/>
                <w:bCs/>
                <w:color w:val="000000" w:themeColor="text1"/>
                <w:sz w:val="18"/>
              </w:rPr>
              <w:t>?</w:t>
            </w:r>
          </w:p>
        </w:tc>
        <w:tc>
          <w:tcPr>
            <w:tcW w:w="7375" w:type="dxa"/>
            <w:vAlign w:val="center"/>
          </w:tcPr>
          <w:p w14:paraId="4AA41BE1" w14:textId="0F7F9F68" w:rsidR="00B658CC" w:rsidRDefault="00B658CC" w:rsidP="00B658CC">
            <w:pPr>
              <w:spacing w:before="60" w:after="60"/>
              <w:rPr>
                <w:sz w:val="18"/>
              </w:rPr>
            </w:pPr>
            <w:r>
              <w:rPr>
                <w:color w:val="000000" w:themeColor="text1"/>
                <w:sz w:val="18"/>
              </w:rPr>
              <w:t>In addition to the student loan subsidy and enhancements to the tuition reimbursement portion of the Policy, EdAssist (our administrator) will be providing guidance with a “Student Loan Advisor” (coaching). EdAssist will provide guidance on college financing, public student loan forgiveness, policy, and academics.</w:t>
            </w:r>
          </w:p>
        </w:tc>
      </w:tr>
      <w:tr w:rsidR="00B658CC" w14:paraId="26494CAB" w14:textId="77777777" w:rsidTr="00A75460">
        <w:tc>
          <w:tcPr>
            <w:tcW w:w="1975" w:type="dxa"/>
            <w:vAlign w:val="center"/>
          </w:tcPr>
          <w:p w14:paraId="0D632A4F" w14:textId="4DDB6F58" w:rsidR="00B658CC" w:rsidRPr="00755853" w:rsidRDefault="00B658CC" w:rsidP="00B658CC">
            <w:pPr>
              <w:spacing w:before="60" w:after="60"/>
              <w:rPr>
                <w:b/>
                <w:bCs/>
                <w:color w:val="000000" w:themeColor="text1"/>
                <w:sz w:val="18"/>
              </w:rPr>
            </w:pPr>
            <w:r>
              <w:rPr>
                <w:b/>
                <w:bCs/>
                <w:color w:val="000000" w:themeColor="text1"/>
                <w:sz w:val="18"/>
              </w:rPr>
              <w:t>Are tuition reimbursement and/or student loan subsidies considered taxable income?</w:t>
            </w:r>
          </w:p>
        </w:tc>
        <w:tc>
          <w:tcPr>
            <w:tcW w:w="7375" w:type="dxa"/>
            <w:vAlign w:val="center"/>
          </w:tcPr>
          <w:p w14:paraId="305ACBCD" w14:textId="764B650C" w:rsidR="00B658CC" w:rsidRPr="00755853" w:rsidRDefault="00B658CC" w:rsidP="00B658CC">
            <w:pPr>
              <w:spacing w:before="60" w:after="60"/>
              <w:rPr>
                <w:color w:val="000000" w:themeColor="text1"/>
                <w:sz w:val="18"/>
              </w:rPr>
            </w:pPr>
            <w:r>
              <w:rPr>
                <w:sz w:val="18"/>
              </w:rPr>
              <w:t>An employee’s first $5,250 in payments received in a calendar year are not considered taxable income to the employee. Any payments received in a calendar year above $5,250 are considered taxable income to the employee. These payments include both tuition reimbursements as well as student loan subsidies.</w:t>
            </w:r>
          </w:p>
        </w:tc>
      </w:tr>
      <w:tr w:rsidR="00B658CC" w14:paraId="41DD96BC" w14:textId="77777777" w:rsidTr="00A75460">
        <w:tc>
          <w:tcPr>
            <w:tcW w:w="1975" w:type="dxa"/>
            <w:vAlign w:val="center"/>
          </w:tcPr>
          <w:p w14:paraId="4434D1F2" w14:textId="54A8EFCF" w:rsidR="00B658CC" w:rsidRDefault="00B658CC" w:rsidP="00B658CC">
            <w:pPr>
              <w:spacing w:before="60" w:after="60"/>
              <w:rPr>
                <w:b/>
                <w:bCs/>
                <w:color w:val="000000" w:themeColor="text1"/>
                <w:sz w:val="18"/>
              </w:rPr>
            </w:pPr>
            <w:r>
              <w:rPr>
                <w:b/>
                <w:bCs/>
                <w:color w:val="000000" w:themeColor="text1"/>
                <w:sz w:val="18"/>
              </w:rPr>
              <w:t xml:space="preserve">What expenses can I submit for tuition reimbursement? </w:t>
            </w:r>
          </w:p>
        </w:tc>
        <w:tc>
          <w:tcPr>
            <w:tcW w:w="7375" w:type="dxa"/>
            <w:vAlign w:val="center"/>
          </w:tcPr>
          <w:p w14:paraId="39671000" w14:textId="15D8AC63" w:rsidR="00B658CC" w:rsidRDefault="00B658CC" w:rsidP="00B658CC">
            <w:pPr>
              <w:spacing w:before="60" w:after="60"/>
              <w:rPr>
                <w:color w:val="000000" w:themeColor="text1"/>
                <w:sz w:val="18"/>
              </w:rPr>
            </w:pPr>
            <w:r>
              <w:rPr>
                <w:color w:val="000000" w:themeColor="text1"/>
                <w:sz w:val="18"/>
              </w:rPr>
              <w:t xml:space="preserve">Tuition reimbursements include tuition, registration fees, lab fees, and book fees. It does not include other expenses such as late fees, transportation, meals, materials other than textbooks. </w:t>
            </w:r>
          </w:p>
        </w:tc>
      </w:tr>
      <w:tr w:rsidR="00B658CC" w14:paraId="37193138" w14:textId="77777777" w:rsidTr="00A75460">
        <w:tc>
          <w:tcPr>
            <w:tcW w:w="1975" w:type="dxa"/>
            <w:vAlign w:val="center"/>
          </w:tcPr>
          <w:p w14:paraId="11629002" w14:textId="50E7C67A" w:rsidR="00B658CC" w:rsidRPr="00755853" w:rsidRDefault="00B658CC" w:rsidP="00B658CC">
            <w:pPr>
              <w:spacing w:before="60" w:after="60"/>
              <w:rPr>
                <w:b/>
                <w:bCs/>
                <w:color w:val="000000" w:themeColor="text1"/>
                <w:sz w:val="18"/>
              </w:rPr>
            </w:pPr>
            <w:r>
              <w:rPr>
                <w:b/>
                <w:bCs/>
                <w:color w:val="000000" w:themeColor="text1"/>
                <w:sz w:val="18"/>
              </w:rPr>
              <w:t>Does my manager need to approve my application?</w:t>
            </w:r>
          </w:p>
        </w:tc>
        <w:tc>
          <w:tcPr>
            <w:tcW w:w="7375" w:type="dxa"/>
            <w:vAlign w:val="center"/>
          </w:tcPr>
          <w:p w14:paraId="0D3B4D82" w14:textId="331CC9FD" w:rsidR="00B658CC" w:rsidRPr="00755853" w:rsidRDefault="00B658CC" w:rsidP="00B658CC">
            <w:pPr>
              <w:spacing w:before="60" w:after="60"/>
              <w:rPr>
                <w:color w:val="000000" w:themeColor="text1"/>
                <w:sz w:val="18"/>
              </w:rPr>
            </w:pPr>
            <w:r>
              <w:rPr>
                <w:color w:val="000000" w:themeColor="text1"/>
                <w:sz w:val="18"/>
              </w:rPr>
              <w:t xml:space="preserve">Yes, once the application has been submitted with EdAssist, the approval request will be emailed to the employee’s manager for approval. The manager reviews to conclude that the course/degree relates to the employee’s role or is in alignment with the career path in the Hospital’s structure and if the employee is in good standing. </w:t>
            </w:r>
          </w:p>
        </w:tc>
      </w:tr>
      <w:tr w:rsidR="00B658CC" w14:paraId="07DADCCF" w14:textId="77777777" w:rsidTr="00A75460">
        <w:tc>
          <w:tcPr>
            <w:tcW w:w="1975" w:type="dxa"/>
            <w:vAlign w:val="center"/>
          </w:tcPr>
          <w:p w14:paraId="5BC840E0" w14:textId="137E5DBD" w:rsidR="00B658CC" w:rsidRDefault="00B658CC" w:rsidP="00B658CC">
            <w:pPr>
              <w:spacing w:before="60" w:after="60"/>
              <w:rPr>
                <w:b/>
                <w:bCs/>
                <w:color w:val="000000" w:themeColor="text1"/>
                <w:sz w:val="18"/>
              </w:rPr>
            </w:pPr>
            <w:r>
              <w:rPr>
                <w:b/>
                <w:bCs/>
                <w:color w:val="000000" w:themeColor="text1"/>
                <w:sz w:val="18"/>
              </w:rPr>
              <w:t>How do I check the status of my application?</w:t>
            </w:r>
          </w:p>
        </w:tc>
        <w:tc>
          <w:tcPr>
            <w:tcW w:w="7375" w:type="dxa"/>
            <w:vAlign w:val="center"/>
          </w:tcPr>
          <w:p w14:paraId="2C6DB58E" w14:textId="630D9B4B" w:rsidR="00B658CC" w:rsidRDefault="00B658CC" w:rsidP="00B658CC">
            <w:pPr>
              <w:spacing w:before="60" w:after="60"/>
              <w:rPr>
                <w:color w:val="000000" w:themeColor="text1"/>
                <w:sz w:val="18"/>
              </w:rPr>
            </w:pPr>
            <w:r>
              <w:rPr>
                <w:color w:val="000000" w:themeColor="text1"/>
                <w:sz w:val="18"/>
              </w:rPr>
              <w:t xml:space="preserve">Employee’s may log into EdAssist at </w:t>
            </w:r>
            <w:hyperlink r:id="rId11" w:history="1">
              <w:r w:rsidRPr="00576FDF">
                <w:rPr>
                  <w:rStyle w:val="Hyperlink"/>
                  <w:sz w:val="18"/>
                </w:rPr>
                <w:t>https://bch.edassist.com</w:t>
              </w:r>
            </w:hyperlink>
            <w:r>
              <w:rPr>
                <w:color w:val="000000" w:themeColor="text1"/>
                <w:sz w:val="18"/>
              </w:rPr>
              <w:t xml:space="preserve"> to review their profile. The employee will receive email notifications when the application status changes. Employees must ensure that their email is up-to-date in their profile. </w:t>
            </w:r>
          </w:p>
        </w:tc>
      </w:tr>
      <w:tr w:rsidR="00B658CC" w14:paraId="73E12EC3" w14:textId="77777777" w:rsidTr="00A75460">
        <w:tc>
          <w:tcPr>
            <w:tcW w:w="1975" w:type="dxa"/>
            <w:vAlign w:val="center"/>
          </w:tcPr>
          <w:p w14:paraId="5CE76BDE" w14:textId="2F2A01D9" w:rsidR="00B658CC" w:rsidRPr="00755853" w:rsidRDefault="00B658CC" w:rsidP="00B658CC">
            <w:pPr>
              <w:spacing w:before="60" w:after="60"/>
              <w:rPr>
                <w:b/>
                <w:bCs/>
                <w:color w:val="000000" w:themeColor="text1"/>
                <w:sz w:val="18"/>
              </w:rPr>
            </w:pPr>
            <w:r>
              <w:rPr>
                <w:b/>
                <w:bCs/>
                <w:color w:val="000000" w:themeColor="text1"/>
                <w:sz w:val="18"/>
              </w:rPr>
              <w:t>What if my tuition reimbursement request is denied?</w:t>
            </w:r>
          </w:p>
        </w:tc>
        <w:tc>
          <w:tcPr>
            <w:tcW w:w="7375" w:type="dxa"/>
            <w:vAlign w:val="center"/>
          </w:tcPr>
          <w:p w14:paraId="3521FC84" w14:textId="2CFC4B77" w:rsidR="00B658CC" w:rsidRPr="00755853" w:rsidRDefault="00B658CC" w:rsidP="00B658CC">
            <w:pPr>
              <w:spacing w:before="60" w:after="60"/>
              <w:rPr>
                <w:color w:val="000000" w:themeColor="text1"/>
                <w:sz w:val="18"/>
              </w:rPr>
            </w:pPr>
            <w:r>
              <w:rPr>
                <w:color w:val="000000" w:themeColor="text1"/>
                <w:sz w:val="18"/>
              </w:rPr>
              <w:t xml:space="preserve">The employee may speak to the manager directly if unsure why the request was denied. The employee may process an Appeal in the EdAssist portal for a formal review, which would require a statement from the employee why they are appealing the denial. </w:t>
            </w:r>
          </w:p>
        </w:tc>
      </w:tr>
      <w:tr w:rsidR="00B658CC" w14:paraId="4E5D71E2" w14:textId="77777777" w:rsidTr="00A75460">
        <w:tc>
          <w:tcPr>
            <w:tcW w:w="1975" w:type="dxa"/>
            <w:vAlign w:val="center"/>
          </w:tcPr>
          <w:p w14:paraId="08F794D3" w14:textId="4B592D5F" w:rsidR="00B658CC" w:rsidRPr="00755853" w:rsidRDefault="00B658CC" w:rsidP="00B658CC">
            <w:pPr>
              <w:spacing w:before="60" w:after="60"/>
              <w:rPr>
                <w:b/>
                <w:bCs/>
                <w:color w:val="000000" w:themeColor="text1"/>
                <w:sz w:val="18"/>
              </w:rPr>
            </w:pPr>
            <w:r>
              <w:rPr>
                <w:b/>
                <w:bCs/>
                <w:color w:val="000000" w:themeColor="text1"/>
                <w:sz w:val="18"/>
              </w:rPr>
              <w:lastRenderedPageBreak/>
              <w:t xml:space="preserve">What if my manager has changed or is on leave? </w:t>
            </w:r>
          </w:p>
        </w:tc>
        <w:tc>
          <w:tcPr>
            <w:tcW w:w="7375" w:type="dxa"/>
            <w:vAlign w:val="center"/>
          </w:tcPr>
          <w:p w14:paraId="1D151F46" w14:textId="48B1E230" w:rsidR="00B658CC" w:rsidRPr="00755853" w:rsidRDefault="00B658CC" w:rsidP="00B658CC">
            <w:pPr>
              <w:spacing w:before="60" w:after="60"/>
              <w:rPr>
                <w:color w:val="000000" w:themeColor="text1"/>
                <w:sz w:val="18"/>
              </w:rPr>
            </w:pPr>
            <w:r>
              <w:rPr>
                <w:color w:val="000000" w:themeColor="text1"/>
                <w:sz w:val="18"/>
              </w:rPr>
              <w:t xml:space="preserve">If you find that the manager is not updated with EdAssist (our administrator), log into </w:t>
            </w:r>
            <w:hyperlink r:id="rId12" w:history="1">
              <w:r w:rsidRPr="00462A3E">
                <w:rPr>
                  <w:rStyle w:val="Hyperlink"/>
                  <w:sz w:val="18"/>
                </w:rPr>
                <w:t>EdAssist</w:t>
              </w:r>
            </w:hyperlink>
            <w:r>
              <w:rPr>
                <w:color w:val="000000" w:themeColor="text1"/>
                <w:sz w:val="18"/>
              </w:rPr>
              <w:t xml:space="preserve"> and contact them via Live Chat or support ticket at to inform them of the new or covering manager’s name. EdAssist will then confirm with Human Resources and update the approval workflow as appropriate so that the reimbursement request will be changed to the new manager. </w:t>
            </w:r>
          </w:p>
        </w:tc>
      </w:tr>
      <w:tr w:rsidR="00B658CC" w14:paraId="57A255FB" w14:textId="77777777" w:rsidTr="00A75460">
        <w:tc>
          <w:tcPr>
            <w:tcW w:w="1975" w:type="dxa"/>
            <w:vAlign w:val="center"/>
          </w:tcPr>
          <w:p w14:paraId="2CD7B7DF" w14:textId="6B209B3F" w:rsidR="00B658CC" w:rsidRDefault="00B658CC" w:rsidP="00B658CC">
            <w:pPr>
              <w:spacing w:before="60" w:after="60"/>
              <w:rPr>
                <w:b/>
                <w:bCs/>
                <w:color w:val="000000" w:themeColor="text1"/>
                <w:sz w:val="18"/>
              </w:rPr>
            </w:pPr>
            <w:r>
              <w:rPr>
                <w:b/>
                <w:bCs/>
                <w:color w:val="000000" w:themeColor="text1"/>
                <w:sz w:val="18"/>
              </w:rPr>
              <w:t>I am out on a leave of absence. Am I still eligible for tuition reimbursement?</w:t>
            </w:r>
          </w:p>
        </w:tc>
        <w:tc>
          <w:tcPr>
            <w:tcW w:w="7375" w:type="dxa"/>
            <w:vAlign w:val="center"/>
          </w:tcPr>
          <w:p w14:paraId="6AB5B309" w14:textId="0B2224FE" w:rsidR="00B658CC" w:rsidRPr="00755853" w:rsidRDefault="00B658CC" w:rsidP="00B658CC">
            <w:pPr>
              <w:spacing w:before="60" w:after="60"/>
              <w:rPr>
                <w:color w:val="000000" w:themeColor="text1"/>
                <w:sz w:val="18"/>
              </w:rPr>
            </w:pPr>
            <w:r>
              <w:rPr>
                <w:sz w:val="18"/>
              </w:rPr>
              <w:t xml:space="preserve">Yes, </w:t>
            </w:r>
            <w:proofErr w:type="gramStart"/>
            <w:r>
              <w:rPr>
                <w:sz w:val="18"/>
              </w:rPr>
              <w:t>as long as</w:t>
            </w:r>
            <w:proofErr w:type="gramEnd"/>
            <w:r>
              <w:rPr>
                <w:sz w:val="18"/>
              </w:rPr>
              <w:t xml:space="preserve"> you were enrolled in the course prior to the start of the leave of absence. Upon return to work, you may then request reimbursement. Employees cannot receive reimbursement during the leave of absence.</w:t>
            </w:r>
          </w:p>
        </w:tc>
      </w:tr>
      <w:tr w:rsidR="00B658CC" w14:paraId="7A44EA0B" w14:textId="77777777" w:rsidTr="00A75460">
        <w:tc>
          <w:tcPr>
            <w:tcW w:w="1975" w:type="dxa"/>
            <w:vAlign w:val="center"/>
          </w:tcPr>
          <w:p w14:paraId="0614E347" w14:textId="0A383BDD" w:rsidR="00B658CC" w:rsidRDefault="00B658CC" w:rsidP="00B658CC">
            <w:pPr>
              <w:spacing w:before="60" w:after="60"/>
              <w:rPr>
                <w:b/>
                <w:bCs/>
                <w:color w:val="000000" w:themeColor="text1"/>
                <w:sz w:val="18"/>
              </w:rPr>
            </w:pPr>
            <w:r>
              <w:rPr>
                <w:b/>
                <w:bCs/>
                <w:color w:val="000000" w:themeColor="text1"/>
                <w:sz w:val="18"/>
              </w:rPr>
              <w:t xml:space="preserve">How do I apply for tuition reimbursement? </w:t>
            </w:r>
          </w:p>
        </w:tc>
        <w:tc>
          <w:tcPr>
            <w:tcW w:w="7375" w:type="dxa"/>
            <w:vAlign w:val="center"/>
          </w:tcPr>
          <w:p w14:paraId="6A5FDA41" w14:textId="3D5995FA" w:rsidR="00B658CC" w:rsidRDefault="00B658CC" w:rsidP="00B658CC">
            <w:pPr>
              <w:spacing w:before="60" w:after="60"/>
              <w:rPr>
                <w:color w:val="000000" w:themeColor="text1"/>
                <w:sz w:val="18"/>
              </w:rPr>
            </w:pPr>
            <w:r>
              <w:rPr>
                <w:color w:val="000000" w:themeColor="text1"/>
                <w:sz w:val="18"/>
              </w:rPr>
              <w:t xml:space="preserve">Applications are submitted directly with </w:t>
            </w:r>
            <w:hyperlink r:id="rId13" w:history="1">
              <w:r w:rsidRPr="002E2020">
                <w:rPr>
                  <w:rStyle w:val="Hyperlink"/>
                  <w:sz w:val="18"/>
                </w:rPr>
                <w:t>EdAssist</w:t>
              </w:r>
            </w:hyperlink>
            <w:r>
              <w:rPr>
                <w:color w:val="000000" w:themeColor="text1"/>
                <w:sz w:val="18"/>
              </w:rPr>
              <w:t xml:space="preserve"> within 90 days after the course start date. </w:t>
            </w:r>
            <w:r w:rsidRPr="00AD238A">
              <w:rPr>
                <w:color w:val="000000" w:themeColor="text1"/>
                <w:sz w:val="18"/>
              </w:rPr>
              <w:t>Click on “Workforce Education” for tuition reimbursement.</w:t>
            </w:r>
            <w:r>
              <w:rPr>
                <w:color w:val="000000" w:themeColor="text1"/>
                <w:sz w:val="18"/>
              </w:rPr>
              <w:t xml:space="preserve"> Supporting documentation includes course registration, itemized invoice showing the course has been paid, and other do</w:t>
            </w:r>
            <w:r w:rsidRPr="00AD238A">
              <w:rPr>
                <w:color w:val="000000" w:themeColor="text1"/>
                <w:sz w:val="18"/>
              </w:rPr>
              <w:t xml:space="preserve">cuments as directed by EdAssist. </w:t>
            </w:r>
          </w:p>
        </w:tc>
      </w:tr>
      <w:tr w:rsidR="00B658CC" w14:paraId="7CE3A5E5" w14:textId="77777777" w:rsidTr="00A75460">
        <w:tc>
          <w:tcPr>
            <w:tcW w:w="1975" w:type="dxa"/>
            <w:vAlign w:val="center"/>
          </w:tcPr>
          <w:p w14:paraId="0C32F2F1" w14:textId="2AD1E61C" w:rsidR="00B658CC" w:rsidRDefault="00B658CC" w:rsidP="00B658CC">
            <w:pPr>
              <w:spacing w:before="60" w:after="60"/>
              <w:rPr>
                <w:b/>
                <w:bCs/>
                <w:color w:val="000000" w:themeColor="text1"/>
                <w:sz w:val="18"/>
              </w:rPr>
            </w:pPr>
            <w:r>
              <w:rPr>
                <w:b/>
                <w:bCs/>
                <w:color w:val="000000" w:themeColor="text1"/>
                <w:sz w:val="18"/>
              </w:rPr>
              <w:t xml:space="preserve">When do I get reimbursed? </w:t>
            </w:r>
          </w:p>
        </w:tc>
        <w:tc>
          <w:tcPr>
            <w:tcW w:w="7375" w:type="dxa"/>
            <w:vAlign w:val="center"/>
          </w:tcPr>
          <w:p w14:paraId="199ED1CF" w14:textId="6D798483" w:rsidR="00EA6389" w:rsidRDefault="00B658CC" w:rsidP="00B658CC">
            <w:pPr>
              <w:spacing w:before="60" w:after="60"/>
              <w:rPr>
                <w:color w:val="000000" w:themeColor="text1"/>
                <w:sz w:val="18"/>
              </w:rPr>
            </w:pPr>
            <w:r>
              <w:rPr>
                <w:color w:val="000000" w:themeColor="text1"/>
                <w:sz w:val="18"/>
              </w:rPr>
              <w:t xml:space="preserve">Upon completion of the course, the employee must submit the passing grade per the Policy to </w:t>
            </w:r>
            <w:hyperlink r:id="rId14" w:history="1">
              <w:r w:rsidRPr="002E2020">
                <w:rPr>
                  <w:rStyle w:val="Hyperlink"/>
                  <w:sz w:val="18"/>
                </w:rPr>
                <w:t>EdAssist</w:t>
              </w:r>
            </w:hyperlink>
            <w:r>
              <w:rPr>
                <w:color w:val="000000" w:themeColor="text1"/>
                <w:sz w:val="18"/>
              </w:rPr>
              <w:t xml:space="preserve">. Once the documentation is reviewed and approved, payment will be issued. Employees have a maximum of 120 days following the end date of the course to request reimbursement. Requests will not be accepted after this period.  </w:t>
            </w:r>
          </w:p>
        </w:tc>
      </w:tr>
      <w:tr w:rsidR="00EA6389" w14:paraId="60621920" w14:textId="77777777" w:rsidTr="00A75460">
        <w:tc>
          <w:tcPr>
            <w:tcW w:w="1975" w:type="dxa"/>
            <w:vAlign w:val="center"/>
          </w:tcPr>
          <w:p w14:paraId="4C698033" w14:textId="40AFE7A2" w:rsidR="00EA6389" w:rsidRDefault="00EA6389" w:rsidP="00EA6389">
            <w:pPr>
              <w:spacing w:before="60" w:after="60"/>
              <w:rPr>
                <w:b/>
                <w:bCs/>
                <w:color w:val="000000" w:themeColor="text1"/>
                <w:sz w:val="18"/>
              </w:rPr>
            </w:pPr>
            <w:r>
              <w:rPr>
                <w:b/>
                <w:bCs/>
                <w:color w:val="000000" w:themeColor="text1"/>
                <w:sz w:val="18"/>
              </w:rPr>
              <w:t>Where can I find more information?</w:t>
            </w:r>
          </w:p>
        </w:tc>
        <w:tc>
          <w:tcPr>
            <w:tcW w:w="7375" w:type="dxa"/>
            <w:vAlign w:val="center"/>
          </w:tcPr>
          <w:p w14:paraId="06680A5C" w14:textId="333246F3" w:rsidR="00EA6389" w:rsidRDefault="00EA6389" w:rsidP="00EA6389">
            <w:pPr>
              <w:spacing w:before="60" w:after="60"/>
              <w:rPr>
                <w:color w:val="000000" w:themeColor="text1"/>
                <w:sz w:val="18"/>
              </w:rPr>
            </w:pPr>
            <w:r>
              <w:rPr>
                <w:color w:val="000000" w:themeColor="text1"/>
                <w:sz w:val="18"/>
              </w:rPr>
              <w:t xml:space="preserve">Employees can review the </w:t>
            </w:r>
            <w:r w:rsidRPr="00C13974">
              <w:rPr>
                <w:b/>
                <w:color w:val="0000CC"/>
                <w:sz w:val="18"/>
                <w:u w:val="single"/>
              </w:rPr>
              <w:t>Tuition and Student Loan Assistance Policy</w:t>
            </w:r>
            <w:r>
              <w:rPr>
                <w:color w:val="000000" w:themeColor="text1"/>
                <w:sz w:val="18"/>
              </w:rPr>
              <w:t xml:space="preserve"> available within Human Resources/Benefits section of the Hospital’s intranet. Alternatively, after logging into EdAssist, s</w:t>
            </w:r>
            <w:r w:rsidRPr="00C13974">
              <w:rPr>
                <w:color w:val="000000" w:themeColor="text1"/>
                <w:sz w:val="18"/>
              </w:rPr>
              <w:t>upport is available through Live Chat, Monday–Friday 8am–8pm EST or you can submit a support ticket and a member of the EdAssist team will contact you.</w:t>
            </w:r>
          </w:p>
        </w:tc>
      </w:tr>
    </w:tbl>
    <w:p w14:paraId="28059015" w14:textId="77777777" w:rsidR="00A81FDD" w:rsidRPr="000F72DD" w:rsidRDefault="00A81FDD" w:rsidP="000F72DD"/>
    <w:sectPr w:rsidR="00A81FDD" w:rsidRPr="000F72DD" w:rsidSect="004D6B55">
      <w:headerReference w:type="default" r:id="rId15"/>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DAED" w14:textId="77777777" w:rsidR="0006409F" w:rsidRDefault="0006409F">
      <w:pPr>
        <w:spacing w:after="0" w:line="240" w:lineRule="auto"/>
      </w:pPr>
      <w:r>
        <w:separator/>
      </w:r>
    </w:p>
  </w:endnote>
  <w:endnote w:type="continuationSeparator" w:id="0">
    <w:p w14:paraId="02EAA3F4" w14:textId="77777777" w:rsidR="0006409F" w:rsidRDefault="00064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601E" w14:textId="77777777" w:rsidR="0006409F" w:rsidRDefault="0006409F">
      <w:pPr>
        <w:spacing w:after="0" w:line="240" w:lineRule="auto"/>
      </w:pPr>
      <w:r>
        <w:separator/>
      </w:r>
    </w:p>
  </w:footnote>
  <w:footnote w:type="continuationSeparator" w:id="0">
    <w:p w14:paraId="3A44AC18" w14:textId="77777777" w:rsidR="0006409F" w:rsidRDefault="000640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2C70" w14:textId="77777777" w:rsidR="00000000" w:rsidRDefault="00513C6E">
    <w:pPr>
      <w:pStyle w:val="Header"/>
    </w:pPr>
    <w:r>
      <w:rPr>
        <w:noProof/>
      </w:rPr>
      <w:drawing>
        <wp:anchor distT="0" distB="0" distL="114300" distR="114300" simplePos="0" relativeHeight="251659264" behindDoc="1" locked="0" layoutInCell="1" allowOverlap="1" wp14:anchorId="0B906A39" wp14:editId="4724FC94">
          <wp:simplePos x="0" y="0"/>
          <wp:positionH relativeFrom="page">
            <wp:posOffset>196770</wp:posOffset>
          </wp:positionH>
          <wp:positionV relativeFrom="page">
            <wp:posOffset>208344</wp:posOffset>
          </wp:positionV>
          <wp:extent cx="7275442" cy="970058"/>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275442" cy="9700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29AC"/>
    <w:multiLevelType w:val="hybridMultilevel"/>
    <w:tmpl w:val="E3A02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40E18"/>
    <w:multiLevelType w:val="hybridMultilevel"/>
    <w:tmpl w:val="D828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37AC4"/>
    <w:multiLevelType w:val="hybridMultilevel"/>
    <w:tmpl w:val="EBCA59A0"/>
    <w:lvl w:ilvl="0" w:tplc="E684DEA8">
      <w:numFmt w:val="bullet"/>
      <w:lvlText w:val=""/>
      <w:lvlJc w:val="left"/>
      <w:pPr>
        <w:ind w:left="820" w:hanging="360"/>
      </w:pPr>
      <w:rPr>
        <w:rFonts w:ascii="Wingdings" w:eastAsia="Wingdings" w:hAnsi="Wingdings" w:cs="Wingdings" w:hint="default"/>
        <w:w w:val="100"/>
        <w:lang w:val="en-US" w:eastAsia="en-US" w:bidi="ar-SA"/>
      </w:rPr>
    </w:lvl>
    <w:lvl w:ilvl="1" w:tplc="50DC71EA">
      <w:numFmt w:val="bullet"/>
      <w:lvlText w:val=""/>
      <w:lvlJc w:val="left"/>
      <w:pPr>
        <w:ind w:left="1540" w:hanging="360"/>
      </w:pPr>
      <w:rPr>
        <w:rFonts w:ascii="Wingdings" w:eastAsia="Wingdings" w:hAnsi="Wingdings" w:cs="Wingdings" w:hint="default"/>
        <w:b w:val="0"/>
        <w:bCs w:val="0"/>
        <w:i w:val="0"/>
        <w:iCs w:val="0"/>
        <w:color w:val="F1A900"/>
        <w:w w:val="100"/>
        <w:sz w:val="22"/>
        <w:szCs w:val="22"/>
        <w:lang w:val="en-US" w:eastAsia="en-US" w:bidi="ar-SA"/>
      </w:rPr>
    </w:lvl>
    <w:lvl w:ilvl="2" w:tplc="80D2584A">
      <w:numFmt w:val="bullet"/>
      <w:lvlText w:val="•"/>
      <w:lvlJc w:val="left"/>
      <w:pPr>
        <w:ind w:left="2433" w:hanging="360"/>
      </w:pPr>
      <w:rPr>
        <w:rFonts w:hint="default"/>
        <w:lang w:val="en-US" w:eastAsia="en-US" w:bidi="ar-SA"/>
      </w:rPr>
    </w:lvl>
    <w:lvl w:ilvl="3" w:tplc="658404D4">
      <w:numFmt w:val="bullet"/>
      <w:lvlText w:val="•"/>
      <w:lvlJc w:val="left"/>
      <w:pPr>
        <w:ind w:left="3326" w:hanging="360"/>
      </w:pPr>
      <w:rPr>
        <w:rFonts w:hint="default"/>
        <w:lang w:val="en-US" w:eastAsia="en-US" w:bidi="ar-SA"/>
      </w:rPr>
    </w:lvl>
    <w:lvl w:ilvl="4" w:tplc="BCE2DF9C">
      <w:numFmt w:val="bullet"/>
      <w:lvlText w:val="•"/>
      <w:lvlJc w:val="left"/>
      <w:pPr>
        <w:ind w:left="4220" w:hanging="360"/>
      </w:pPr>
      <w:rPr>
        <w:rFonts w:hint="default"/>
        <w:lang w:val="en-US" w:eastAsia="en-US" w:bidi="ar-SA"/>
      </w:rPr>
    </w:lvl>
    <w:lvl w:ilvl="5" w:tplc="FE9AE87C">
      <w:numFmt w:val="bullet"/>
      <w:lvlText w:val="•"/>
      <w:lvlJc w:val="left"/>
      <w:pPr>
        <w:ind w:left="5113" w:hanging="360"/>
      </w:pPr>
      <w:rPr>
        <w:rFonts w:hint="default"/>
        <w:lang w:val="en-US" w:eastAsia="en-US" w:bidi="ar-SA"/>
      </w:rPr>
    </w:lvl>
    <w:lvl w:ilvl="6" w:tplc="80B4F320">
      <w:numFmt w:val="bullet"/>
      <w:lvlText w:val="•"/>
      <w:lvlJc w:val="left"/>
      <w:pPr>
        <w:ind w:left="6006" w:hanging="360"/>
      </w:pPr>
      <w:rPr>
        <w:rFonts w:hint="default"/>
        <w:lang w:val="en-US" w:eastAsia="en-US" w:bidi="ar-SA"/>
      </w:rPr>
    </w:lvl>
    <w:lvl w:ilvl="7" w:tplc="9252D7D0">
      <w:numFmt w:val="bullet"/>
      <w:lvlText w:val="•"/>
      <w:lvlJc w:val="left"/>
      <w:pPr>
        <w:ind w:left="6900" w:hanging="360"/>
      </w:pPr>
      <w:rPr>
        <w:rFonts w:hint="default"/>
        <w:lang w:val="en-US" w:eastAsia="en-US" w:bidi="ar-SA"/>
      </w:rPr>
    </w:lvl>
    <w:lvl w:ilvl="8" w:tplc="F82413AE">
      <w:numFmt w:val="bullet"/>
      <w:lvlText w:val="•"/>
      <w:lvlJc w:val="left"/>
      <w:pPr>
        <w:ind w:left="7793" w:hanging="360"/>
      </w:pPr>
      <w:rPr>
        <w:rFonts w:hint="default"/>
        <w:lang w:val="en-US" w:eastAsia="en-US" w:bidi="ar-SA"/>
      </w:rPr>
    </w:lvl>
  </w:abstractNum>
  <w:abstractNum w:abstractNumId="3" w15:restartNumberingAfterBreak="0">
    <w:nsid w:val="548A7EBB"/>
    <w:multiLevelType w:val="multilevel"/>
    <w:tmpl w:val="C4383F82"/>
    <w:lvl w:ilvl="0">
      <w:start w:val="1"/>
      <w:numFmt w:val="bullet"/>
      <w:pStyle w:val="policy"/>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360"/>
        </w:tabs>
        <w:ind w:left="720" w:hanging="360"/>
      </w:pPr>
      <w:rPr>
        <w:rFonts w:ascii="Verdana" w:hAnsi="Verdana" w:hint="default"/>
        <w:b w:val="0"/>
        <w:i w:val="0"/>
        <w:sz w:val="18"/>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661D2998"/>
    <w:multiLevelType w:val="multilevel"/>
    <w:tmpl w:val="8A6819D6"/>
    <w:lvl w:ilvl="0">
      <w:start w:val="1"/>
      <w:numFmt w:val="bullet"/>
      <w:lvlText w:val=""/>
      <w:lvlJc w:val="left"/>
      <w:pPr>
        <w:tabs>
          <w:tab w:val="num" w:pos="360"/>
        </w:tabs>
        <w:ind w:left="360" w:hanging="360"/>
      </w:pPr>
      <w:rPr>
        <w:rFonts w:ascii="Wingdings" w:hAnsi="Wingdings" w:hint="default"/>
        <w:color w:val="auto"/>
        <w:sz w:val="1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o"/>
      <w:lvlJc w:val="left"/>
      <w:pPr>
        <w:tabs>
          <w:tab w:val="num" w:pos="1080"/>
        </w:tabs>
        <w:ind w:left="1080" w:hanging="360"/>
      </w:pPr>
      <w:rPr>
        <w:rFonts w:ascii="Courier New" w:hAnsi="Courier New"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2005082009">
    <w:abstractNumId w:val="3"/>
  </w:num>
  <w:num w:numId="2" w16cid:durableId="155533998">
    <w:abstractNumId w:val="1"/>
  </w:num>
  <w:num w:numId="3" w16cid:durableId="433596210">
    <w:abstractNumId w:val="4"/>
  </w:num>
  <w:num w:numId="4" w16cid:durableId="1548562803">
    <w:abstractNumId w:val="2"/>
  </w:num>
  <w:num w:numId="5" w16cid:durableId="1947346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F15"/>
    <w:rsid w:val="0006409F"/>
    <w:rsid w:val="000F1936"/>
    <w:rsid w:val="000F36E7"/>
    <w:rsid w:val="000F72DD"/>
    <w:rsid w:val="002E2020"/>
    <w:rsid w:val="002F2E03"/>
    <w:rsid w:val="00462230"/>
    <w:rsid w:val="00462A3E"/>
    <w:rsid w:val="004E1D3D"/>
    <w:rsid w:val="00513C6E"/>
    <w:rsid w:val="00535405"/>
    <w:rsid w:val="005F7081"/>
    <w:rsid w:val="00610D73"/>
    <w:rsid w:val="00615F15"/>
    <w:rsid w:val="00671CA2"/>
    <w:rsid w:val="00737DC8"/>
    <w:rsid w:val="00751A65"/>
    <w:rsid w:val="00767027"/>
    <w:rsid w:val="007809BA"/>
    <w:rsid w:val="0078180C"/>
    <w:rsid w:val="008B4FAC"/>
    <w:rsid w:val="009F3272"/>
    <w:rsid w:val="009F7859"/>
    <w:rsid w:val="00A23FDD"/>
    <w:rsid w:val="00A36EA8"/>
    <w:rsid w:val="00A54F79"/>
    <w:rsid w:val="00A81FDD"/>
    <w:rsid w:val="00AD238A"/>
    <w:rsid w:val="00B34307"/>
    <w:rsid w:val="00B46BD9"/>
    <w:rsid w:val="00B658CC"/>
    <w:rsid w:val="00C26969"/>
    <w:rsid w:val="00E263F4"/>
    <w:rsid w:val="00E91DDE"/>
    <w:rsid w:val="00EA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EAA51"/>
  <w15:chartTrackingRefBased/>
  <w15:docId w15:val="{5EBF80A4-24AF-4960-91D9-C40A304B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5F15"/>
    <w:rPr>
      <w:sz w:val="16"/>
      <w:szCs w:val="16"/>
    </w:rPr>
  </w:style>
  <w:style w:type="paragraph" w:styleId="CommentText">
    <w:name w:val="annotation text"/>
    <w:basedOn w:val="Normal"/>
    <w:link w:val="CommentTextChar"/>
    <w:uiPriority w:val="99"/>
    <w:semiHidden/>
    <w:unhideWhenUsed/>
    <w:rsid w:val="00615F15"/>
    <w:pPr>
      <w:spacing w:line="240" w:lineRule="auto"/>
    </w:pPr>
    <w:rPr>
      <w:sz w:val="20"/>
      <w:szCs w:val="20"/>
    </w:rPr>
  </w:style>
  <w:style w:type="character" w:customStyle="1" w:styleId="CommentTextChar">
    <w:name w:val="Comment Text Char"/>
    <w:basedOn w:val="DefaultParagraphFont"/>
    <w:link w:val="CommentText"/>
    <w:uiPriority w:val="99"/>
    <w:semiHidden/>
    <w:rsid w:val="00615F15"/>
    <w:rPr>
      <w:sz w:val="20"/>
      <w:szCs w:val="20"/>
    </w:rPr>
  </w:style>
  <w:style w:type="character" w:styleId="Hyperlink">
    <w:name w:val="Hyperlink"/>
    <w:basedOn w:val="DefaultParagraphFont"/>
    <w:uiPriority w:val="99"/>
    <w:unhideWhenUsed/>
    <w:rsid w:val="00615F15"/>
    <w:rPr>
      <w:color w:val="0563C1" w:themeColor="hyperlink"/>
      <w:u w:val="single"/>
    </w:rPr>
  </w:style>
  <w:style w:type="paragraph" w:styleId="Header">
    <w:name w:val="header"/>
    <w:basedOn w:val="Normal"/>
    <w:link w:val="HeaderChar"/>
    <w:uiPriority w:val="99"/>
    <w:unhideWhenUsed/>
    <w:rsid w:val="00615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F15"/>
  </w:style>
  <w:style w:type="paragraph" w:customStyle="1" w:styleId="policy">
    <w:name w:val="policy"/>
    <w:basedOn w:val="Normal"/>
    <w:rsid w:val="00615F15"/>
    <w:pPr>
      <w:numPr>
        <w:numId w:val="1"/>
      </w:numPr>
      <w:spacing w:before="120" w:after="40"/>
    </w:pPr>
  </w:style>
  <w:style w:type="paragraph" w:styleId="BalloonText">
    <w:name w:val="Balloon Text"/>
    <w:basedOn w:val="Normal"/>
    <w:link w:val="BalloonTextChar"/>
    <w:uiPriority w:val="99"/>
    <w:semiHidden/>
    <w:unhideWhenUsed/>
    <w:rsid w:val="00615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F15"/>
    <w:rPr>
      <w:rFonts w:ascii="Segoe UI" w:hAnsi="Segoe UI" w:cs="Segoe UI"/>
      <w:sz w:val="18"/>
      <w:szCs w:val="18"/>
    </w:rPr>
  </w:style>
  <w:style w:type="table" w:styleId="TableGrid">
    <w:name w:val="Table Grid"/>
    <w:basedOn w:val="TableNormal"/>
    <w:uiPriority w:val="39"/>
    <w:rsid w:val="0061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15F15"/>
    <w:rPr>
      <w:b/>
      <w:bCs/>
    </w:rPr>
  </w:style>
  <w:style w:type="character" w:customStyle="1" w:styleId="CommentSubjectChar">
    <w:name w:val="Comment Subject Char"/>
    <w:basedOn w:val="CommentTextChar"/>
    <w:link w:val="CommentSubject"/>
    <w:uiPriority w:val="99"/>
    <w:semiHidden/>
    <w:rsid w:val="00615F15"/>
    <w:rPr>
      <w:b/>
      <w:bCs/>
      <w:sz w:val="20"/>
      <w:szCs w:val="20"/>
    </w:rPr>
  </w:style>
  <w:style w:type="paragraph" w:styleId="Footer">
    <w:name w:val="footer"/>
    <w:basedOn w:val="Normal"/>
    <w:link w:val="FooterChar"/>
    <w:uiPriority w:val="99"/>
    <w:unhideWhenUsed/>
    <w:rsid w:val="002F2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03"/>
  </w:style>
  <w:style w:type="paragraph" w:styleId="ListParagraph">
    <w:name w:val="List Paragraph"/>
    <w:basedOn w:val="Normal"/>
    <w:uiPriority w:val="34"/>
    <w:qFormat/>
    <w:rsid w:val="00A81FDD"/>
    <w:pPr>
      <w:ind w:left="720"/>
      <w:contextualSpacing/>
    </w:pPr>
  </w:style>
  <w:style w:type="character" w:styleId="FollowedHyperlink">
    <w:name w:val="FollowedHyperlink"/>
    <w:basedOn w:val="DefaultParagraphFont"/>
    <w:uiPriority w:val="99"/>
    <w:semiHidden/>
    <w:unhideWhenUsed/>
    <w:rsid w:val="002E20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ch.edassis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hlogin.brighthorizons.com/?clientguid=11B68BE1-85C5-E811-A39A-0050569902E1&amp;benefitid=2&amp;fsTargetId=0&amp;isMobile=Fal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h.edassis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ch.edassi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vdate xmlns="68f45ae7-48b2-4733-bdd9-0892d9b589b2" xsi:nil="true"/>
    <CHBAuthor xmlns="68f45ae7-48b2-4733-bdd9-0892d9b589b2">
      <UserInfo>
        <DisplayName>Williams, Kathy</DisplayName>
        <AccountId>56063</AccountId>
        <AccountType/>
      </UserInfo>
    </CHBAuthor>
    <Description0 xmlns="678dc308-54de-47fe-bc4e-0dcf70ca4373">Tuition Reimbursement FAQs</Description0>
  </documentManagement>
</p: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826C91C6F7A03F4885A86CD0F2170912" ma:contentTypeVersion="9" ma:contentTypeDescription="Create a new document." ma:contentTypeScope="" ma:versionID="e19bcc7e6c836e7256a47669164b161b">
  <xsd:schema xmlns:xsd="http://www.w3.org/2001/XMLSchema" xmlns:xs="http://www.w3.org/2001/XMLSchema" xmlns:p="http://schemas.microsoft.com/office/2006/metadata/properties" xmlns:ns2="678dc308-54de-47fe-bc4e-0dcf70ca4373" xmlns:ns3="68f45ae7-48b2-4733-bdd9-0892d9b589b2" targetNamespace="http://schemas.microsoft.com/office/2006/metadata/properties" ma:root="true" ma:fieldsID="ccce1e49d4681893a4072a4d0c2465ed" ns2:_="" ns3:_="">
    <xsd:import namespace="678dc308-54de-47fe-bc4e-0dcf70ca4373"/>
    <xsd:import namespace="68f45ae7-48b2-4733-bdd9-0892d9b589b2"/>
    <xsd:element name="properties">
      <xsd:complexType>
        <xsd:sequence>
          <xsd:element name="documentManagement">
            <xsd:complexType>
              <xsd:all>
                <xsd:element ref="ns2:Description0" minOccurs="0"/>
                <xsd:element ref="ns3:CHBAuthor" minOccurs="0"/>
                <xsd:element ref="ns3:rev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dc308-54de-47fe-bc4e-0dcf70ca437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45ae7-48b2-4733-bdd9-0892d9b589b2" elementFormDefault="qualified">
    <xsd:import namespace="http://schemas.microsoft.com/office/2006/documentManagement/types"/>
    <xsd:import namespace="http://schemas.microsoft.com/office/infopath/2007/PartnerControls"/>
    <xsd:element name="CHBAuthor" ma:index="9" nillable="true" ma:displayName="BCH Author" ma:list="UserInfo" ma:SharePointGroup="0" ma:internalName="CHB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date" ma:index="10" nillable="true" ma:displayName="Revision Date" ma:format="DateOnly" ma:internalName="revdate0">
      <xsd:simpleType>
        <xsd:restriction base="dms:DateTime"/>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FEC835-1CA4-4191-9593-8C10381F09C6}">
  <ds:schemaRefs>
    <ds:schemaRef ds:uri="http://schemas.microsoft.com/office/2006/metadata/properties"/>
    <ds:schemaRef ds:uri="http://schemas.microsoft.com/office/infopath/2007/PartnerControls"/>
    <ds:schemaRef ds:uri="68f45ae7-48b2-4733-bdd9-0892d9b589b2"/>
    <ds:schemaRef ds:uri="678dc308-54de-47fe-bc4e-0dcf70ca4373"/>
  </ds:schemaRefs>
</ds:datastoreItem>
</file>

<file path=customXml/itemProps2.xml><?xml version="1.0" encoding="utf-8"?>
<ds:datastoreItem xmlns:ds="http://schemas.openxmlformats.org/officeDocument/2006/customXml" ds:itemID="{5AB3EE47-CA4B-48B0-97FE-529828C11048}">
  <ds:schemaRefs>
    <ds:schemaRef ds:uri="http://schemas.microsoft.com/sharepoint/events"/>
  </ds:schemaRefs>
</ds:datastoreItem>
</file>

<file path=customXml/itemProps3.xml><?xml version="1.0" encoding="utf-8"?>
<ds:datastoreItem xmlns:ds="http://schemas.openxmlformats.org/officeDocument/2006/customXml" ds:itemID="{FDE6F2E8-4F97-41E5-90CE-4A5EAA053F9A}">
  <ds:schemaRefs>
    <ds:schemaRef ds:uri="http://schemas.microsoft.com/sharepoint/v3/contenttype/forms"/>
  </ds:schemaRefs>
</ds:datastoreItem>
</file>

<file path=customXml/itemProps4.xml><?xml version="1.0" encoding="utf-8"?>
<ds:datastoreItem xmlns:ds="http://schemas.openxmlformats.org/officeDocument/2006/customXml" ds:itemID="{08295362-7E86-44A4-815B-0E3FCA5B1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dc308-54de-47fe-bc4e-0dcf70ca4373"/>
    <ds:schemaRef ds:uri="68f45ae7-48b2-4733-bdd9-0892d9b58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Reimbursement - FAQ</dc:title>
  <dc:subject>Tuition Reimbursement</dc:subject>
  <dc:creator>Williams, Kathy</dc:creator>
  <cp:keywords/>
  <dc:description/>
  <cp:lastModifiedBy>Rogers, Katie</cp:lastModifiedBy>
  <cp:revision>2</cp:revision>
  <dcterms:created xsi:type="dcterms:W3CDTF">2023-09-07T12:20:00Z</dcterms:created>
  <dcterms:modified xsi:type="dcterms:W3CDTF">2023-09-07T12:20:00Z</dcterms:modified>
  <cp:category>Benefits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0x010100826C91C6F7A03F4885A86CD0F2170912</vt:lpwstr>
  </property>
  <property fmtid="{D5CDD505-2E9C-101B-9397-08002B2CF9AE}" pid="3" name="GrammarlyDocumentId">
    <vt:lpwstr>acfbe828b0a337d4313221532812f9ddc23c29190a0fd6ce8b615a99f12b23d4</vt:lpwstr>
  </property>
</Properties>
</file>